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center"/>
        <w:rPr>
          <w:rFonts w:ascii="微软雅黑" w:hAnsi="微软雅黑" w:eastAsia="微软雅黑" w:cs="微软雅黑"/>
          <w:color w:val="595959"/>
          <w:sz w:val="18"/>
          <w:szCs w:val="18"/>
          <w:shd w:val="clear" w:color="auto" w:fill="FFFFFF"/>
        </w:rPr>
      </w:pPr>
      <w:r>
        <w:rPr>
          <w:rFonts w:hint="eastAsia" w:ascii="微软雅黑" w:hAnsi="微软雅黑" w:eastAsia="微软雅黑" w:cs="微软雅黑"/>
          <w:color w:val="595959"/>
          <w:sz w:val="18"/>
          <w:szCs w:val="18"/>
          <w:shd w:val="clear" w:color="auto" w:fill="FFFFFF"/>
        </w:rPr>
        <w:t>Stab S2T 小容量可叠加全温振荡培养箱</w:t>
      </w:r>
    </w:p>
    <w:p>
      <w:pPr>
        <w:pStyle w:val="5"/>
        <w:widowControl/>
        <w:shd w:val="clear" w:color="auto" w:fill="FFFFFF"/>
        <w:spacing w:beforeAutospacing="0" w:afterAutospacing="0"/>
        <w:rPr>
          <w:rFonts w:ascii="微软雅黑" w:hAnsi="微软雅黑" w:eastAsia="微软雅黑" w:cs="微软雅黑"/>
          <w:color w:val="595959"/>
          <w:sz w:val="18"/>
          <w:szCs w:val="18"/>
          <w:shd w:val="clear" w:color="auto" w:fill="FFFFFF"/>
        </w:rPr>
      </w:pPr>
    </w:p>
    <w:p>
      <w:pPr>
        <w:widowControl/>
        <w:shd w:val="clear" w:color="auto" w:fill="FFFFFF"/>
        <w:rPr>
          <w:rFonts w:ascii="微软雅黑" w:hAnsi="微软雅黑" w:eastAsia="微软雅黑" w:cs="宋体"/>
          <w:color w:val="5A5A5A"/>
          <w:kern w:val="0"/>
          <w:sz w:val="18"/>
          <w:szCs w:val="18"/>
        </w:rPr>
      </w:pPr>
      <w:r>
        <w:rPr>
          <w:rFonts w:hint="eastAsia" w:ascii="微软雅黑" w:hAnsi="微软雅黑" w:eastAsia="微软雅黑" w:cs="宋体"/>
          <w:color w:val="5A5A5A"/>
          <w:kern w:val="0"/>
          <w:sz w:val="18"/>
          <w:szCs w:val="18"/>
        </w:rPr>
        <w:t>       Stab S2T 小容量可叠加全温振荡培养箱</w:t>
      </w:r>
      <w:r>
        <w:rPr>
          <w:rFonts w:hint="eastAsia" w:ascii="微软雅黑" w:hAnsi="微软雅黑" w:eastAsia="微软雅黑" w:cs="宋体"/>
          <w:color w:val="4B4B4B"/>
          <w:kern w:val="0"/>
          <w:sz w:val="18"/>
          <w:szCs w:val="18"/>
        </w:rPr>
        <w:t>（触控屏）</w:t>
      </w:r>
      <w:r>
        <w:rPr>
          <w:rFonts w:hint="eastAsia" w:ascii="微软雅黑" w:hAnsi="微软雅黑" w:eastAsia="微软雅黑" w:cs="宋体"/>
          <w:color w:val="5A5A5A"/>
          <w:kern w:val="0"/>
          <w:sz w:val="18"/>
          <w:szCs w:val="18"/>
        </w:rPr>
        <w:t>是RADOBIO摇床的新升级产品，它继承了Stab S2 一贯的高精密制造工艺，将摇板升级成镀铬铝合金材质，外观呈现拉丝效果，美观大方，同时在外形尺寸不变的情况下内部可容纳培养瓶的舱室空间增加了30%，并集合了材料工艺、控制系统等领域的多项革新，是实验室细菌培养产品新选。</w:t>
      </w:r>
    </w:p>
    <w:p>
      <w:pPr>
        <w:widowControl/>
        <w:shd w:val="clear" w:color="auto" w:fill="FFFFFF"/>
        <w:rPr>
          <w:rFonts w:hint="eastAsia" w:ascii="微软雅黑" w:hAnsi="微软雅黑" w:eastAsia="微软雅黑" w:cs="宋体"/>
          <w:color w:val="5A5A5A"/>
          <w:kern w:val="0"/>
          <w:sz w:val="18"/>
          <w:szCs w:val="18"/>
        </w:rPr>
      </w:pPr>
      <w:r>
        <w:rPr>
          <w:rFonts w:hint="eastAsia" w:ascii="微软雅黑" w:hAnsi="微软雅黑" w:eastAsia="微软雅黑" w:cs="微软雅黑"/>
          <w:color w:val="595959"/>
          <w:sz w:val="18"/>
          <w:szCs w:val="18"/>
        </w:rPr>
        <w:drawing>
          <wp:inline distT="0" distB="0" distL="114300" distR="114300">
            <wp:extent cx="1564005" cy="2399665"/>
            <wp:effectExtent l="0" t="0" r="17145" b="635"/>
            <wp:docPr id="3" name="图片 3" descr="Stab S2T  全温摇床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tab S2T  全温摇床1"/>
                    <pic:cNvPicPr>
                      <a:picLocks noChangeAspect="1"/>
                    </pic:cNvPicPr>
                  </pic:nvPicPr>
                  <pic:blipFill>
                    <a:blip r:embed="rId6"/>
                    <a:srcRect l="28492" t="9905" r="29022" b="8611"/>
                    <a:stretch>
                      <a:fillRect/>
                    </a:stretch>
                  </pic:blipFill>
                  <pic:spPr>
                    <a:xfrm>
                      <a:off x="0" y="0"/>
                      <a:ext cx="1564005" cy="2399665"/>
                    </a:xfrm>
                    <a:prstGeom prst="rect">
                      <a:avLst/>
                    </a:prstGeom>
                  </pic:spPr>
                </pic:pic>
              </a:graphicData>
            </a:graphic>
          </wp:inline>
        </w:drawing>
      </w:r>
      <w:r>
        <w:rPr>
          <w:rFonts w:hint="eastAsia" w:ascii="微软雅黑" w:hAnsi="微软雅黑" w:eastAsia="微软雅黑" w:cs="宋体"/>
          <w:color w:val="5A5A5A"/>
          <w:kern w:val="0"/>
          <w:sz w:val="18"/>
          <w:szCs w:val="18"/>
        </w:rPr>
        <w:br w:type="textWrapping"/>
      </w:r>
      <w:r>
        <w:rPr>
          <w:rFonts w:hint="eastAsia" w:ascii="微软雅黑" w:hAnsi="微软雅黑" w:eastAsia="微软雅黑" w:cs="宋体"/>
          <w:color w:val="5A5A5A"/>
          <w:kern w:val="0"/>
          <w:sz w:val="18"/>
          <w:szCs w:val="18"/>
        </w:rPr>
        <w:br w:type="textWrapping"/>
      </w:r>
      <w:r>
        <w:rPr>
          <w:rFonts w:hint="eastAsia" w:ascii="微软雅黑" w:hAnsi="微软雅黑" w:eastAsia="微软雅黑" w:cs="宋体"/>
          <w:b/>
          <w:bCs/>
          <w:color w:val="4A86E8"/>
          <w:kern w:val="0"/>
          <w:sz w:val="18"/>
          <w:szCs w:val="18"/>
        </w:rPr>
        <w:t>产品优势：</w:t>
      </w:r>
    </w:p>
    <w:p>
      <w:pPr>
        <w:widowControl/>
        <w:shd w:val="clear" w:color="auto" w:fill="FFFFFF"/>
        <w:rPr>
          <w:rFonts w:hint="eastAsia" w:ascii="微软雅黑" w:hAnsi="微软雅黑" w:eastAsia="微软雅黑" w:cs="宋体"/>
          <w:color w:val="5A5A5A"/>
          <w:kern w:val="0"/>
          <w:sz w:val="18"/>
          <w:szCs w:val="18"/>
        </w:rPr>
      </w:pPr>
    </w:p>
    <w:p>
      <w:pPr>
        <w:widowControl/>
        <w:shd w:val="clear" w:color="auto" w:fill="FFFFFF"/>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5寸LCD触摸屏控制器，直观控制易操作</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5寸触摸竖屏控制面板直观易操作，不经过专门的培训，就可以很容易的控制某个参数的开关以及改变其参数值</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可以设置多段式程序，设置不同温度、转速、时间等培养参数，程序之间自动无缝切换；可以随时查看培养过程的任意参数、历史数据曲线</w:t>
      </w:r>
    </w:p>
    <w:p>
      <w:pPr>
        <w:widowControl/>
        <w:shd w:val="clear" w:color="auto" w:fill="FFFFFF"/>
        <w:rPr>
          <w:rFonts w:hint="eastAsia" w:ascii="微软雅黑" w:hAnsi="微软雅黑" w:eastAsia="微软雅黑" w:cs="宋体"/>
          <w:color w:val="5A5A5A"/>
          <w:kern w:val="0"/>
          <w:sz w:val="18"/>
          <w:szCs w:val="18"/>
        </w:rPr>
      </w:pPr>
    </w:p>
    <w:p>
      <w:pPr>
        <w:widowControl/>
        <w:shd w:val="clear" w:color="auto" w:fill="FFFFFF"/>
        <w:spacing w:after="240"/>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可推拉的内嵌式遮光帘，轻松推拉方便避光培养（选配）</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对于光敏性介质或生物，可以通过拉上遮光帘进行培养。可推拉式遮光帘可防止日光（紫外线辐射）进入培养箱内部，同时保留了观察内部培养情况的便利性</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遮光帘处于玻璃窗与外箱面板之间，不仅方便而且美观，完美解决粘贴锡箔纸的尴尬</w:t>
      </w:r>
    </w:p>
    <w:p>
      <w:pPr>
        <w:widowControl/>
        <w:shd w:val="clear" w:color="auto" w:fill="FFFFFF"/>
        <w:spacing w:after="240"/>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双层玻璃门，保证优异的隔热性与安全性</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内外双层安全玻璃门，具有良好的隔热性能和安全防护</w:t>
      </w:r>
    </w:p>
    <w:p>
      <w:pPr>
        <w:widowControl/>
        <w:shd w:val="clear" w:color="auto" w:fill="FFFFFF"/>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门加热功能有效防止玻璃门起雾，随时观察细胞培养情况（选配）</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门加热功能有效防止玻璃窗出现冷凝水，使得摇床在内外温度差异较大时也可以很好的观察内部摇瓶</w:t>
      </w:r>
    </w:p>
    <w:p>
      <w:pPr>
        <w:widowControl/>
        <w:shd w:val="clear" w:color="auto" w:fill="FFFFFF"/>
        <w:rPr>
          <w:rFonts w:hint="eastAsia" w:ascii="微软雅黑" w:hAnsi="微软雅黑" w:eastAsia="微软雅黑" w:cs="宋体"/>
          <w:color w:val="5A5A5A"/>
          <w:kern w:val="0"/>
          <w:sz w:val="18"/>
          <w:szCs w:val="18"/>
        </w:rPr>
      </w:pPr>
    </w:p>
    <w:p>
      <w:pPr>
        <w:widowControl/>
        <w:shd w:val="clear" w:color="auto" w:fill="FFFFFF"/>
        <w:spacing w:after="240"/>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紫外杀菌系统，灭菌效果更为出色</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紫外UV 杀菌单元可有效灭菌，UV杀菌单元在休息时可以打开，保障箱体内部的清洁培养环境</w:t>
      </w:r>
    </w:p>
    <w:p>
      <w:pPr>
        <w:widowControl/>
        <w:shd w:val="clear" w:color="auto" w:fill="FFFFFF"/>
        <w:spacing w:after="240"/>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拉丝全不锈钢圆弧度角一体内腔，美观且易于清理</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培养箱体防水设计，所有对水或雾气敏感的部件包括驱动马达及电子部件全部置于箱体外部，所以培养箱可以在高温高湿环境下培养</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培养过程中的任何意外碎瓶不会对培养箱造成损害，箱体底部可以直接用水清洁，也可以用清洁剂、灭菌剂彻底清理箱体，以保证箱体内的无菌环境</w:t>
      </w:r>
    </w:p>
    <w:p>
      <w:pPr>
        <w:widowControl/>
        <w:shd w:val="clear" w:color="auto" w:fill="FFFFFF"/>
        <w:spacing w:after="240"/>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机器运行近静音，多层叠加高速运转无异常震动</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采用独特轴承技术、启动稳定、几乎无噪音运行，即使多层叠加也无异常震动</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机器运行稳定，使用寿命更长</w:t>
      </w:r>
    </w:p>
    <w:p>
      <w:pPr>
        <w:widowControl/>
        <w:shd w:val="clear" w:color="auto" w:fill="FFFFFF"/>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一体成型夹具，稳定耐用，有效预防夹具断裂带来的不安全事件</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RADOBIO的所有夹具是直接从整块304不锈钢板材上切割下来制作成型，稳定耐用，不会发生断裂，可有效防止夹具断裂摇瓶甩出等不安全事件的发生</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不锈钢夹具的固定臂经过塑封处理，可防止割伤用户，同时减少与摇瓶间的摩擦，带来更好的静音体验</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提供各种容器夹具定制服务</w:t>
      </w:r>
    </w:p>
    <w:p>
      <w:pPr>
        <w:widowControl/>
        <w:shd w:val="clear" w:color="auto" w:fill="FFFFFF"/>
        <w:rPr>
          <w:rFonts w:hint="eastAsia" w:ascii="微软雅黑" w:hAnsi="微软雅黑" w:eastAsia="微软雅黑" w:cs="宋体"/>
          <w:color w:val="5A5A5A"/>
          <w:kern w:val="0"/>
          <w:sz w:val="18"/>
          <w:szCs w:val="18"/>
        </w:rPr>
      </w:pPr>
    </w:p>
    <w:p>
      <w:pPr>
        <w:widowControl/>
        <w:shd w:val="clear" w:color="auto" w:fill="FFFFFF"/>
        <w:spacing w:after="240"/>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无热量防水风机，大幅减少背景热量，节约能源</w:t>
      </w:r>
      <w:r>
        <w:rPr>
          <w:rFonts w:hint="eastAsia" w:ascii="微软雅黑" w:hAnsi="微软雅黑" w:eastAsia="微软雅黑" w:cs="宋体"/>
          <w:color w:val="434343"/>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相较于传统风机，无热量防水风机可将舱室内的温度更为均一稳定，同时有效减少背景热量，在不启用制冷系统的情况下，具备更为宽阔的培养温度范围，这样也节约了能耗</w:t>
      </w:r>
    </w:p>
    <w:p>
      <w:pPr>
        <w:widowControl/>
        <w:shd w:val="clear" w:color="auto" w:fill="FFFFFF"/>
        <w:spacing w:after="240"/>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推拉式拉丝效果镀铬铝合金摇板，轻松放置培养容器</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8mm厚铝合金摇板更为轻盈坚固，拉丝镀铬效果美观大方，且易于清洁</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可推拉式设计，在特定高度和空间仍可方便轻松放置培养容器</w:t>
      </w:r>
    </w:p>
    <w:p>
      <w:pPr>
        <w:widowControl/>
        <w:shd w:val="clear" w:color="auto" w:fill="FFFFFF"/>
        <w:spacing w:after="240"/>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摆放方式灵活，可叠加，有效节约实验室空间</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可以单层落地使用或台上使用，也可以双层或三层叠加使用，三层叠加使用时顶层托板拉出距地面高度仅为1.3 米，实验人员可以轻松操作</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随任务而增长的系统，当培养容量不再足够时，无需增加更多的占地面积，可以轻松叠加至最多3层，而无需进一步安装。叠加的每个振荡培养箱均独立运行，可提供不同的培养条件</w:t>
      </w:r>
    </w:p>
    <w:p>
      <w:pPr>
        <w:widowControl/>
        <w:shd w:val="clear" w:color="auto" w:fill="FFFFFF"/>
        <w:rPr>
          <w:rFonts w:hint="eastAsia" w:ascii="微软雅黑" w:hAnsi="微软雅黑" w:eastAsia="微软雅黑" w:cs="宋体"/>
          <w:color w:val="5A5A5A"/>
          <w:kern w:val="0"/>
          <w:sz w:val="18"/>
          <w:szCs w:val="18"/>
        </w:rPr>
      </w:pPr>
      <w:r>
        <w:rPr>
          <w:rFonts w:hint="eastAsia" w:ascii="MS Gothic" w:hAnsi="MS Gothic" w:eastAsia="MS Gothic" w:cs="MS Gothic"/>
          <w:b/>
          <w:bCs/>
          <w:color w:val="5A5A5A"/>
          <w:kern w:val="0"/>
          <w:sz w:val="18"/>
          <w:szCs w:val="18"/>
        </w:rPr>
        <w:t>❏</w:t>
      </w:r>
      <w:r>
        <w:rPr>
          <w:rFonts w:hint="eastAsia" w:ascii="微软雅黑" w:hAnsi="微软雅黑" w:eastAsia="微软雅黑" w:cs="宋体"/>
          <w:b/>
          <w:bCs/>
          <w:color w:val="5A5A5A"/>
          <w:kern w:val="0"/>
          <w:sz w:val="18"/>
          <w:szCs w:val="18"/>
        </w:rPr>
        <w:t>  多重安全设计，保证操作者及样品的安全</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优化的 PID参数设置，不会造成升降温过程中的温度过冲</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全优化的振荡系统及平衡系统 , 可以保证在高速振荡时不会出现其他不需要的振动</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意外断电后，摇床将会记忆用户的设定参数，并在来电后根据原设定参数自动启动，同时自动提示操作者曾经发生的意外情况</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在工作中如果用户打开舱门，摇床振荡板将自动柔性刹车，直至彻底停止振荡，关上舱门时，摇床振荡板将自动柔性启动，直至达到预设定的振荡转速，不会出现速度骤升带来的不安全事件</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当某参数远偏离设定值时，自动开启声、光警报系统</w:t>
      </w:r>
      <w:r>
        <w:rPr>
          <w:rFonts w:hint="eastAsia" w:ascii="微软雅黑" w:hAnsi="微软雅黑" w:eastAsia="微软雅黑" w:cs="宋体"/>
          <w:color w:val="5A5A5A"/>
          <w:kern w:val="0"/>
          <w:sz w:val="18"/>
          <w:szCs w:val="18"/>
        </w:rPr>
        <w:br w:type="textWrapping"/>
      </w:r>
      <w:r>
        <w:rPr>
          <w:rFonts w:hint="eastAsia" w:ascii="MS Gothic" w:hAnsi="MS Gothic" w:eastAsia="MS Gothic" w:cs="MS Gothic"/>
          <w:color w:val="5A5A5A"/>
          <w:kern w:val="0"/>
          <w:sz w:val="18"/>
          <w:szCs w:val="18"/>
        </w:rPr>
        <w:t>▸</w:t>
      </w:r>
      <w:r>
        <w:rPr>
          <w:rFonts w:hint="eastAsia" w:ascii="微软雅黑" w:hAnsi="微软雅黑" w:eastAsia="微软雅黑" w:cs="宋体"/>
          <w:color w:val="5A5A5A"/>
          <w:kern w:val="0"/>
          <w:sz w:val="18"/>
          <w:szCs w:val="18"/>
        </w:rPr>
        <w:t> 侧面配有数据导出USB端口，可以轻松导出备份数据，数据存储便利安全</w:t>
      </w:r>
    </w:p>
    <w:p>
      <w:pPr>
        <w:widowControl/>
        <w:shd w:val="clear" w:color="auto" w:fill="FFFFFF"/>
        <w:rPr>
          <w:rFonts w:hint="eastAsia" w:ascii="微软雅黑" w:hAnsi="微软雅黑" w:eastAsia="微软雅黑" w:cs="宋体"/>
          <w:color w:val="5A5A5A"/>
          <w:kern w:val="0"/>
          <w:sz w:val="18"/>
          <w:szCs w:val="18"/>
        </w:rPr>
      </w:pPr>
    </w:p>
    <w:p>
      <w:pPr>
        <w:widowControl/>
        <w:shd w:val="clear" w:color="auto" w:fill="FFFFFF"/>
        <w:rPr>
          <w:rFonts w:hint="eastAsia" w:ascii="微软雅黑" w:hAnsi="微软雅黑" w:eastAsia="微软雅黑" w:cs="宋体"/>
          <w:color w:val="5A5A5A"/>
          <w:kern w:val="0"/>
          <w:sz w:val="18"/>
          <w:szCs w:val="18"/>
        </w:rPr>
      </w:pPr>
      <w:r>
        <w:rPr>
          <w:rFonts w:hint="eastAsia" w:ascii="微软雅黑" w:hAnsi="微软雅黑" w:eastAsia="微软雅黑" w:cs="宋体"/>
          <w:b/>
          <w:bCs/>
          <w:color w:val="4A86E8"/>
          <w:kern w:val="0"/>
          <w:sz w:val="18"/>
          <w:szCs w:val="18"/>
        </w:rPr>
        <w:t>产品选型表：</w:t>
      </w:r>
    </w:p>
    <w:tbl>
      <w:tblPr>
        <w:tblStyle w:val="6"/>
        <w:tblW w:w="0" w:type="auto"/>
        <w:tblInd w:w="0" w:type="dxa"/>
        <w:shd w:val="clear" w:color="auto" w:fill="FFFFFF"/>
        <w:tblLayout w:type="autofit"/>
        <w:tblCellMar>
          <w:top w:w="15" w:type="dxa"/>
          <w:left w:w="15" w:type="dxa"/>
          <w:bottom w:w="15" w:type="dxa"/>
          <w:right w:w="15" w:type="dxa"/>
        </w:tblCellMar>
      </w:tblPr>
      <w:tblGrid>
        <w:gridCol w:w="1307"/>
        <w:gridCol w:w="2841"/>
        <w:gridCol w:w="1144"/>
        <w:gridCol w:w="826"/>
        <w:gridCol w:w="2488"/>
      </w:tblGrid>
      <w:tr>
        <w:tblPrEx>
          <w:shd w:val="clear" w:color="auto" w:fill="FFFFFF"/>
          <w:tblCellMar>
            <w:top w:w="15" w:type="dxa"/>
            <w:left w:w="15" w:type="dxa"/>
            <w:bottom w:w="15" w:type="dxa"/>
            <w:right w:w="15" w:type="dxa"/>
          </w:tblCellMar>
        </w:tblPrEx>
        <w:trPr>
          <w:trHeight w:val="120" w:hRule="atLeast"/>
        </w:trPr>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hint="eastAsia" w:ascii="Arial" w:hAnsi="Arial" w:eastAsia="宋体" w:cs="Arial"/>
                <w:color w:val="5A5A5A"/>
                <w:kern w:val="0"/>
                <w:sz w:val="15"/>
                <w:szCs w:val="15"/>
              </w:rPr>
            </w:pPr>
            <w:r>
              <w:rPr>
                <w:rFonts w:hint="eastAsia" w:ascii="微软雅黑" w:hAnsi="微软雅黑" w:eastAsia="微软雅黑" w:cs="Arial"/>
                <w:color w:val="5A5A5A"/>
                <w:kern w:val="0"/>
                <w:sz w:val="15"/>
                <w:szCs w:val="15"/>
              </w:rPr>
              <w:t>产品型号</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beforeAutospacing="1" w:afterAutospacing="1"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产品名称</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beforeAutospacing="1" w:afterAutospacing="1"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对应主机数量</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beforeAutospacing="1" w:afterAutospacing="1"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开门方式</w:t>
            </w: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beforeAutospacing="1" w:afterAutospacing="1"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外型尺寸(长 x 宽x 高)</w:t>
            </w:r>
          </w:p>
        </w:tc>
      </w:tr>
      <w:tr>
        <w:tblPrEx>
          <w:tblCellMar>
            <w:top w:w="15" w:type="dxa"/>
            <w:left w:w="15" w:type="dxa"/>
            <w:bottom w:w="15" w:type="dxa"/>
            <w:right w:w="15" w:type="dxa"/>
          </w:tblCellMar>
        </w:tblPrEx>
        <w:trPr>
          <w:trHeight w:val="120" w:hRule="atLeast"/>
        </w:trPr>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wordWrap w:val="0"/>
              <w:spacing w:line="252" w:lineRule="atLeast"/>
              <w:jc w:val="lef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Stab S2T </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小容量可叠加全温振荡培养箱（触控屏）</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1台（共1层）</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向左侧开门</w:t>
            </w: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1000  x 725 x 620 mm( 含底座)</w:t>
            </w:r>
          </w:p>
        </w:tc>
      </w:tr>
      <w:tr>
        <w:tblPrEx>
          <w:shd w:val="clear" w:color="auto" w:fill="FFFFFF"/>
          <w:tblCellMar>
            <w:top w:w="15" w:type="dxa"/>
            <w:left w:w="15" w:type="dxa"/>
            <w:bottom w:w="15" w:type="dxa"/>
            <w:right w:w="15" w:type="dxa"/>
          </w:tblCellMar>
        </w:tblPrEx>
        <w:trPr>
          <w:trHeight w:val="120" w:hRule="atLeast"/>
        </w:trPr>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Stab S2T </w:t>
            </w:r>
            <w:r>
              <w:rPr>
                <w:rFonts w:hint="eastAsia" w:ascii="微软雅黑" w:hAnsi="微软雅黑" w:eastAsia="微软雅黑" w:cs="Arial"/>
                <w:color w:val="5A5A5A"/>
                <w:kern w:val="0"/>
                <w:sz w:val="15"/>
                <w:szCs w:val="15"/>
              </w:rPr>
              <w:t>-2 </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小容量可叠加全温振荡培养箱(触控屏，双层）</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2台（共2层）</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向左侧开门</w:t>
            </w: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1000 x 725 x 1170 mm ( 含底座)</w:t>
            </w:r>
          </w:p>
        </w:tc>
      </w:tr>
      <w:tr>
        <w:tblPrEx>
          <w:shd w:val="clear" w:color="auto" w:fill="FFFFFF"/>
          <w:tblCellMar>
            <w:top w:w="15" w:type="dxa"/>
            <w:left w:w="15" w:type="dxa"/>
            <w:bottom w:w="15" w:type="dxa"/>
            <w:right w:w="15" w:type="dxa"/>
          </w:tblCellMar>
        </w:tblPrEx>
        <w:trPr>
          <w:trHeight w:val="120" w:hRule="atLeast"/>
        </w:trPr>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Stab S2T </w:t>
            </w:r>
            <w:r>
              <w:rPr>
                <w:rFonts w:hint="eastAsia" w:ascii="微软雅黑" w:hAnsi="微软雅黑" w:eastAsia="微软雅黑" w:cs="Arial"/>
                <w:color w:val="5A5A5A"/>
                <w:kern w:val="0"/>
                <w:sz w:val="15"/>
                <w:szCs w:val="15"/>
              </w:rPr>
              <w:t>-3</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小容量可叠加全温振荡培养箱(触控屏，三层）</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3台（共3层）</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向左侧开门</w:t>
            </w: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1000 x 725 x 1720 mm( 含底座)</w:t>
            </w:r>
          </w:p>
        </w:tc>
      </w:tr>
      <w:tr>
        <w:tblPrEx>
          <w:shd w:val="clear" w:color="auto" w:fill="FFFFFF"/>
          <w:tblCellMar>
            <w:top w:w="15" w:type="dxa"/>
            <w:left w:w="15" w:type="dxa"/>
            <w:bottom w:w="15" w:type="dxa"/>
            <w:right w:w="15" w:type="dxa"/>
          </w:tblCellMar>
        </w:tblPrEx>
        <w:trPr>
          <w:trHeight w:val="120" w:hRule="atLeast"/>
        </w:trPr>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Stab S2T </w:t>
            </w:r>
            <w:r>
              <w:rPr>
                <w:rFonts w:hint="eastAsia" w:ascii="微软雅黑" w:hAnsi="微软雅黑" w:eastAsia="微软雅黑" w:cs="Arial"/>
                <w:color w:val="5A5A5A"/>
                <w:kern w:val="0"/>
                <w:sz w:val="15"/>
                <w:szCs w:val="15"/>
              </w:rPr>
              <w:t>-D2 </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小容量可叠加全温振荡培养箱(触控屏，第二层）</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1台（第2层）</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向左侧开门</w:t>
            </w: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1000  x 725 x 550 mm</w:t>
            </w:r>
          </w:p>
        </w:tc>
      </w:tr>
      <w:tr>
        <w:tblPrEx>
          <w:shd w:val="clear" w:color="auto" w:fill="FFFFFF"/>
          <w:tblCellMar>
            <w:top w:w="15" w:type="dxa"/>
            <w:left w:w="15" w:type="dxa"/>
            <w:bottom w:w="15" w:type="dxa"/>
            <w:right w:w="15" w:type="dxa"/>
          </w:tblCellMar>
        </w:tblPrEx>
        <w:trPr>
          <w:trHeight w:val="120" w:hRule="atLeast"/>
        </w:trPr>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Stab S2T </w:t>
            </w:r>
            <w:r>
              <w:rPr>
                <w:rFonts w:hint="eastAsia" w:ascii="微软雅黑" w:hAnsi="微软雅黑" w:eastAsia="微软雅黑" w:cs="Arial"/>
                <w:color w:val="5A5A5A"/>
                <w:kern w:val="0"/>
                <w:sz w:val="15"/>
                <w:szCs w:val="15"/>
              </w:rPr>
              <w:t>-D3 </w:t>
            </w:r>
          </w:p>
        </w:tc>
        <w:tc>
          <w:tcPr>
            <w:tcW w:w="46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4B4B4B"/>
                <w:kern w:val="0"/>
                <w:sz w:val="15"/>
                <w:szCs w:val="15"/>
              </w:rPr>
              <w:t>小容量可叠加全温振荡培养箱(触控屏，第三层）</w:t>
            </w:r>
          </w:p>
        </w:tc>
        <w:tc>
          <w:tcPr>
            <w:tcW w:w="157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1台（第3层）</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向左侧开门</w:t>
            </w:r>
          </w:p>
        </w:tc>
        <w:tc>
          <w:tcPr>
            <w:tcW w:w="4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wordWrap w:val="0"/>
              <w:spacing w:line="252" w:lineRule="atLeast"/>
              <w:rPr>
                <w:rFonts w:ascii="Arial" w:hAnsi="Arial" w:eastAsia="宋体" w:cs="Arial"/>
                <w:color w:val="5A5A5A"/>
                <w:kern w:val="0"/>
                <w:sz w:val="15"/>
                <w:szCs w:val="15"/>
              </w:rPr>
            </w:pPr>
            <w:r>
              <w:rPr>
                <w:rFonts w:hint="eastAsia" w:ascii="微软雅黑" w:hAnsi="微软雅黑" w:eastAsia="微软雅黑" w:cs="Arial"/>
                <w:color w:val="5A5A5A"/>
                <w:kern w:val="0"/>
                <w:sz w:val="15"/>
                <w:szCs w:val="15"/>
              </w:rPr>
              <w:t>1000  x 725 x 550 mm</w:t>
            </w:r>
          </w:p>
        </w:tc>
      </w:tr>
    </w:tbl>
    <w:p>
      <w:pPr>
        <w:widowControl/>
        <w:shd w:val="clear" w:color="auto" w:fill="FFFFFF"/>
        <w:rPr>
          <w:rFonts w:ascii="微软雅黑" w:hAnsi="微软雅黑" w:eastAsia="微软雅黑" w:cs="宋体"/>
          <w:color w:val="5A5A5A"/>
          <w:kern w:val="0"/>
          <w:sz w:val="18"/>
          <w:szCs w:val="18"/>
        </w:rPr>
      </w:pPr>
    </w:p>
    <w:p>
      <w:pPr>
        <w:widowControl/>
        <w:shd w:val="clear" w:color="auto" w:fill="FFFFFF"/>
        <w:spacing w:after="240"/>
        <w:rPr>
          <w:rFonts w:hint="eastAsia" w:ascii="微软雅黑" w:hAnsi="微软雅黑" w:eastAsia="微软雅黑" w:cs="宋体"/>
          <w:color w:val="5A5A5A"/>
          <w:kern w:val="0"/>
          <w:sz w:val="18"/>
          <w:szCs w:val="18"/>
        </w:rPr>
      </w:pPr>
      <w:r>
        <w:rPr>
          <w:rFonts w:hint="eastAsia" w:ascii="微软雅黑" w:hAnsi="微软雅黑" w:eastAsia="微软雅黑" w:cs="宋体"/>
          <w:b/>
          <w:bCs/>
          <w:color w:val="4A86E8"/>
          <w:kern w:val="0"/>
          <w:sz w:val="18"/>
          <w:szCs w:val="18"/>
        </w:rPr>
        <w:t>产品配置：</w:t>
      </w:r>
      <w:r>
        <w:rPr>
          <w:rFonts w:hint="eastAsia" w:ascii="微软雅黑" w:hAnsi="微软雅黑" w:eastAsia="微软雅黑" w:cs="宋体"/>
          <w:color w:val="5A5A5A"/>
          <w:kern w:val="0"/>
          <w:sz w:val="18"/>
          <w:szCs w:val="18"/>
        </w:rPr>
        <w:br w:type="textWrapping"/>
      </w:r>
      <w:r>
        <w:rPr>
          <w:rFonts w:hint="eastAsia" w:ascii="微软雅黑" w:hAnsi="微软雅黑" w:eastAsia="微软雅黑" w:cs="宋体"/>
          <w:color w:val="5A5A5A"/>
          <w:kern w:val="0"/>
          <w:sz w:val="18"/>
          <w:szCs w:val="18"/>
        </w:rPr>
        <w:t>型号Stab S2T </w:t>
      </w:r>
      <w:r>
        <w:rPr>
          <w:rFonts w:hint="eastAsia" w:ascii="微软雅黑" w:hAnsi="微软雅黑" w:eastAsia="微软雅黑" w:cs="宋体"/>
          <w:color w:val="4B4B4B"/>
          <w:kern w:val="0"/>
          <w:sz w:val="18"/>
          <w:szCs w:val="18"/>
        </w:rPr>
        <w:t>小容量可叠加全温振荡培养箱</w:t>
      </w:r>
      <w:r>
        <w:rPr>
          <w:rFonts w:hint="eastAsia" w:ascii="微软雅黑" w:hAnsi="微软雅黑" w:eastAsia="微软雅黑" w:cs="宋体"/>
          <w:color w:val="5A5A5A"/>
          <w:kern w:val="0"/>
          <w:sz w:val="18"/>
          <w:szCs w:val="18"/>
        </w:rPr>
        <w:t>，对应配置为：</w:t>
      </w:r>
      <w:r>
        <w:rPr>
          <w:rFonts w:hint="eastAsia" w:ascii="微软雅黑" w:hAnsi="微软雅黑" w:eastAsia="微软雅黑" w:cs="宋体"/>
          <w:color w:val="5A5A5A"/>
          <w:kern w:val="0"/>
          <w:sz w:val="18"/>
          <w:szCs w:val="18"/>
        </w:rPr>
        <w:br w:type="textWrapping"/>
      </w:r>
      <w:r>
        <w:rPr>
          <w:rFonts w:hint="eastAsia" w:ascii="微软雅黑" w:hAnsi="微软雅黑" w:eastAsia="微软雅黑" w:cs="宋体"/>
          <w:color w:val="5A5A5A"/>
          <w:kern w:val="0"/>
          <w:sz w:val="18"/>
          <w:szCs w:val="18"/>
        </w:rPr>
        <w:t>主机1台（1层）、带夹具振荡托板1个、电源线1个、保险丝2个、纸质材料1份</w:t>
      </w:r>
    </w:p>
    <w:p>
      <w:pPr>
        <w:widowControl/>
        <w:shd w:val="clear" w:color="auto" w:fill="FFFFFF"/>
        <w:rPr>
          <w:rFonts w:hint="eastAsia" w:ascii="微软雅黑" w:hAnsi="微软雅黑" w:eastAsia="微软雅黑" w:cs="宋体"/>
          <w:color w:val="5A5A5A"/>
          <w:kern w:val="0"/>
          <w:sz w:val="18"/>
          <w:szCs w:val="18"/>
        </w:rPr>
      </w:pPr>
      <w:r>
        <w:rPr>
          <w:rFonts w:hint="eastAsia" w:ascii="微软雅黑" w:hAnsi="微软雅黑" w:eastAsia="微软雅黑" w:cs="宋体"/>
          <w:b/>
          <w:bCs/>
          <w:color w:val="4A86E8"/>
          <w:kern w:val="0"/>
          <w:sz w:val="18"/>
          <w:szCs w:val="18"/>
        </w:rPr>
        <w:t>选购配件：</w:t>
      </w:r>
    </w:p>
    <w:p>
      <w:pPr>
        <w:widowControl/>
        <w:shd w:val="clear" w:color="auto" w:fill="FFFFFF"/>
        <w:rPr>
          <w:rFonts w:hint="eastAsia" w:ascii="微软雅黑" w:hAnsi="微软雅黑" w:eastAsia="微软雅黑" w:cs="宋体"/>
          <w:color w:val="5A5A5A"/>
          <w:kern w:val="0"/>
          <w:sz w:val="18"/>
          <w:szCs w:val="18"/>
        </w:rPr>
      </w:pPr>
    </w:p>
    <w:tbl>
      <w:tblPr>
        <w:tblStyle w:val="6"/>
        <w:tblpPr w:leftFromText="45" w:rightFromText="45" w:topFromText="100" w:bottomFromText="100" w:vertAnchor="text"/>
        <w:tblW w:w="8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747"/>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trPr>
        <w:tc>
          <w:tcPr>
            <w:tcW w:w="2747" w:type="dxa"/>
            <w:shd w:val="clear" w:color="auto" w:fill="FFFFFF"/>
            <w:tcMar>
              <w:top w:w="75" w:type="dxa"/>
              <w:left w:w="150" w:type="dxa"/>
              <w:bottom w:w="75" w:type="dxa"/>
              <w:right w:w="150" w:type="dxa"/>
            </w:tcMar>
            <w:vAlign w:val="center"/>
          </w:tcPr>
          <w:p>
            <w:pPr>
              <w:widowControl/>
              <w:spacing w:line="252" w:lineRule="atLeast"/>
              <w:jc w:val="center"/>
              <w:rPr>
                <w:rFonts w:hint="eastAsia" w:ascii="Arial" w:hAnsi="Arial" w:eastAsia="宋体" w:cs="Arial"/>
                <w:color w:val="5A5A5A"/>
                <w:kern w:val="0"/>
                <w:sz w:val="18"/>
                <w:szCs w:val="18"/>
              </w:rPr>
            </w:pPr>
            <w:r>
              <w:rPr>
                <w:rFonts w:hint="eastAsia" w:ascii="微软雅黑" w:hAnsi="微软雅黑" w:eastAsia="微软雅黑" w:cs="Arial"/>
                <w:color w:val="434343"/>
                <w:kern w:val="0"/>
                <w:sz w:val="18"/>
                <w:szCs w:val="18"/>
              </w:rPr>
              <w:t>型号</w:t>
            </w:r>
          </w:p>
        </w:tc>
        <w:tc>
          <w:tcPr>
            <w:tcW w:w="5894" w:type="dxa"/>
            <w:shd w:val="clear" w:color="auto" w:fill="FFFFFF"/>
            <w:tcMar>
              <w:top w:w="75" w:type="dxa"/>
              <w:left w:w="150" w:type="dxa"/>
              <w:bottom w:w="75" w:type="dxa"/>
              <w:right w:w="150" w:type="dxa"/>
            </w:tcMar>
            <w:vAlign w:val="center"/>
          </w:tcPr>
          <w:p>
            <w:pPr>
              <w:widowControl/>
              <w:spacing w:line="252" w:lineRule="atLeast"/>
              <w:jc w:val="center"/>
              <w:rPr>
                <w:rFonts w:ascii="Arial" w:hAnsi="Arial" w:eastAsia="宋体" w:cs="Arial"/>
                <w:color w:val="5A5A5A"/>
                <w:kern w:val="0"/>
                <w:sz w:val="18"/>
                <w:szCs w:val="18"/>
              </w:rPr>
            </w:pPr>
            <w:r>
              <w:rPr>
                <w:rFonts w:hint="eastAsia" w:ascii="微软雅黑" w:hAnsi="微软雅黑" w:eastAsia="微软雅黑" w:cs="Arial"/>
                <w:color w:val="434343"/>
                <w:kern w:val="0"/>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trPr>
        <w:tc>
          <w:tcPr>
            <w:tcW w:w="2747" w:type="dxa"/>
            <w:shd w:val="clear" w:color="auto" w:fill="FFFFFF"/>
            <w:tcMar>
              <w:top w:w="75" w:type="dxa"/>
              <w:left w:w="150" w:type="dxa"/>
              <w:bottom w:w="75" w:type="dxa"/>
              <w:right w:w="150" w:type="dxa"/>
            </w:tcMar>
            <w:vAlign w:val="center"/>
          </w:tcPr>
          <w:p>
            <w:pPr>
              <w:widowControl/>
              <w:wordWrap w:val="0"/>
              <w:spacing w:line="252" w:lineRule="atLeast"/>
              <w:jc w:val="center"/>
              <w:rPr>
                <w:rFonts w:ascii="Arial" w:hAnsi="Arial" w:eastAsia="宋体" w:cs="Arial"/>
                <w:color w:val="5A5A5A"/>
                <w:kern w:val="0"/>
                <w:sz w:val="18"/>
                <w:szCs w:val="18"/>
              </w:rPr>
            </w:pPr>
            <w:r>
              <w:rPr>
                <w:rFonts w:hint="eastAsia" w:ascii="微软雅黑" w:hAnsi="微软雅黑" w:eastAsia="微软雅黑" w:cs="Arial"/>
                <w:color w:val="434343"/>
                <w:kern w:val="0"/>
                <w:sz w:val="18"/>
                <w:szCs w:val="18"/>
              </w:rPr>
              <w:t>RL200</w:t>
            </w:r>
          </w:p>
        </w:tc>
        <w:tc>
          <w:tcPr>
            <w:tcW w:w="5894" w:type="dxa"/>
            <w:shd w:val="clear" w:color="auto" w:fill="FFFFFF"/>
            <w:tcMar>
              <w:top w:w="75" w:type="dxa"/>
              <w:left w:w="150" w:type="dxa"/>
              <w:bottom w:w="75" w:type="dxa"/>
              <w:right w:w="150" w:type="dxa"/>
            </w:tcMar>
            <w:vAlign w:val="center"/>
          </w:tcPr>
          <w:p>
            <w:pPr>
              <w:widowControl/>
              <w:spacing w:line="252" w:lineRule="atLeast"/>
              <w:jc w:val="center"/>
              <w:rPr>
                <w:rFonts w:ascii="Arial" w:hAnsi="Arial" w:eastAsia="宋体" w:cs="Arial"/>
                <w:color w:val="5A5A5A"/>
                <w:kern w:val="0"/>
                <w:sz w:val="18"/>
                <w:szCs w:val="18"/>
              </w:rPr>
            </w:pPr>
            <w:r>
              <w:rPr>
                <w:rFonts w:hint="eastAsia" w:ascii="微软雅黑" w:hAnsi="微软雅黑" w:eastAsia="微软雅黑" w:cs="Arial"/>
                <w:color w:val="434343"/>
                <w:kern w:val="0"/>
                <w:sz w:val="18"/>
                <w:szCs w:val="18"/>
              </w:rPr>
              <w:t>内嵌可推拉式遮光帘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0" w:type="auto"/>
            <w:shd w:val="clear" w:color="auto" w:fill="FFFFFF"/>
            <w:tcMar>
              <w:top w:w="75" w:type="dxa"/>
              <w:left w:w="150" w:type="dxa"/>
              <w:bottom w:w="75" w:type="dxa"/>
              <w:right w:w="150" w:type="dxa"/>
            </w:tcMar>
            <w:vAlign w:val="center"/>
          </w:tcPr>
          <w:p>
            <w:pPr>
              <w:widowControl/>
              <w:spacing w:line="252" w:lineRule="atLeast"/>
              <w:jc w:val="center"/>
              <w:rPr>
                <w:rFonts w:ascii="Arial" w:hAnsi="Arial" w:eastAsia="宋体" w:cs="Arial"/>
                <w:color w:val="5A5A5A"/>
                <w:kern w:val="0"/>
                <w:sz w:val="18"/>
                <w:szCs w:val="18"/>
              </w:rPr>
            </w:pPr>
            <w:r>
              <w:rPr>
                <w:rFonts w:hint="eastAsia" w:ascii="微软雅黑" w:hAnsi="微软雅黑" w:eastAsia="微软雅黑" w:cs="Arial"/>
                <w:color w:val="434343"/>
                <w:kern w:val="0"/>
                <w:sz w:val="18"/>
                <w:szCs w:val="18"/>
              </w:rPr>
              <w:t>RD100</w:t>
            </w:r>
          </w:p>
        </w:tc>
        <w:tc>
          <w:tcPr>
            <w:tcW w:w="0" w:type="auto"/>
            <w:shd w:val="clear" w:color="auto" w:fill="FFFFFF"/>
            <w:tcMar>
              <w:top w:w="75" w:type="dxa"/>
              <w:left w:w="150" w:type="dxa"/>
              <w:bottom w:w="75" w:type="dxa"/>
              <w:right w:w="150" w:type="dxa"/>
            </w:tcMar>
            <w:vAlign w:val="center"/>
          </w:tcPr>
          <w:p>
            <w:pPr>
              <w:widowControl/>
              <w:spacing w:line="252" w:lineRule="atLeast"/>
              <w:ind w:hanging="420"/>
              <w:jc w:val="center"/>
              <w:rPr>
                <w:rFonts w:ascii="Arial" w:hAnsi="Arial" w:eastAsia="宋体" w:cs="Arial"/>
                <w:color w:val="5A5A5A"/>
                <w:kern w:val="0"/>
                <w:sz w:val="18"/>
                <w:szCs w:val="18"/>
              </w:rPr>
            </w:pPr>
            <w:r>
              <w:rPr>
                <w:rFonts w:hint="eastAsia" w:ascii="微软雅黑" w:hAnsi="微软雅黑" w:eastAsia="微软雅黑" w:cs="Arial"/>
                <w:color w:val="434343"/>
                <w:kern w:val="0"/>
                <w:sz w:val="18"/>
                <w:szCs w:val="18"/>
              </w:rPr>
              <w:t>       门加热模块</w:t>
            </w:r>
          </w:p>
        </w:tc>
      </w:tr>
    </w:tbl>
    <w:p>
      <w:pPr>
        <w:widowControl/>
        <w:shd w:val="clear" w:color="auto" w:fill="FFFFFF"/>
        <w:rPr>
          <w:rFonts w:ascii="微软雅黑" w:hAnsi="微软雅黑" w:eastAsia="微软雅黑" w:cs="宋体"/>
          <w:color w:val="5A5A5A"/>
          <w:kern w:val="0"/>
          <w:sz w:val="18"/>
          <w:szCs w:val="18"/>
        </w:rPr>
      </w:pPr>
    </w:p>
    <w:p>
      <w:pPr>
        <w:widowControl/>
        <w:shd w:val="clear" w:color="auto" w:fill="FFFFFF"/>
        <w:rPr>
          <w:rFonts w:hint="eastAsia" w:ascii="微软雅黑" w:hAnsi="微软雅黑" w:eastAsia="微软雅黑" w:cs="宋体"/>
          <w:color w:val="5A5A5A"/>
          <w:kern w:val="0"/>
          <w:sz w:val="18"/>
          <w:szCs w:val="18"/>
        </w:rPr>
      </w:pPr>
    </w:p>
    <w:p>
      <w:pPr>
        <w:widowControl/>
        <w:shd w:val="clear" w:color="auto" w:fill="FFFFFF"/>
        <w:rPr>
          <w:rFonts w:hint="eastAsia" w:ascii="微软雅黑" w:hAnsi="微软雅黑" w:eastAsia="微软雅黑" w:cs="宋体"/>
          <w:color w:val="5A5A5A"/>
          <w:kern w:val="0"/>
          <w:sz w:val="18"/>
          <w:szCs w:val="18"/>
        </w:rPr>
      </w:pPr>
      <w:r>
        <w:rPr>
          <w:rFonts w:hint="eastAsia" w:ascii="微软雅黑" w:hAnsi="微软雅黑" w:eastAsia="微软雅黑" w:cs="宋体"/>
          <w:b/>
          <w:bCs/>
          <w:color w:val="4A86E8"/>
          <w:kern w:val="0"/>
          <w:sz w:val="18"/>
          <w:szCs w:val="18"/>
        </w:rPr>
        <w:t>尺寸视图:</w:t>
      </w:r>
    </w:p>
    <w:p>
      <w:pPr>
        <w:widowControl/>
        <w:shd w:val="clear" w:color="auto" w:fill="FFFFFF"/>
        <w:rPr>
          <w:rFonts w:hint="eastAsia" w:ascii="微软雅黑" w:hAnsi="微软雅黑" w:eastAsia="微软雅黑" w:cs="宋体"/>
          <w:color w:val="5A5A5A"/>
          <w:kern w:val="0"/>
          <w:sz w:val="18"/>
          <w:szCs w:val="18"/>
        </w:rPr>
      </w:pPr>
      <w:r>
        <w:drawing>
          <wp:inline distT="0" distB="0" distL="114300" distR="114300">
            <wp:extent cx="5271770" cy="3773170"/>
            <wp:effectExtent l="0" t="0" r="508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271770" cy="3773170"/>
                    </a:xfrm>
                    <a:prstGeom prst="rect">
                      <a:avLst/>
                    </a:prstGeom>
                    <a:noFill/>
                    <a:ln>
                      <a:noFill/>
                    </a:ln>
                  </pic:spPr>
                </pic:pic>
              </a:graphicData>
            </a:graphic>
          </wp:inline>
        </w:drawing>
      </w:r>
    </w:p>
    <w:p>
      <w:pPr>
        <w:widowControl/>
        <w:shd w:val="clear" w:color="auto" w:fill="FFFFFF"/>
        <w:rPr>
          <w:rFonts w:hint="eastAsia" w:ascii="微软雅黑" w:hAnsi="微软雅黑" w:eastAsia="微软雅黑" w:cs="宋体"/>
          <w:color w:val="5A5A5A"/>
          <w:kern w:val="0"/>
          <w:sz w:val="18"/>
          <w:szCs w:val="18"/>
        </w:rPr>
      </w:pPr>
    </w:p>
    <w:p>
      <w:pPr>
        <w:widowControl/>
        <w:shd w:val="clear" w:color="auto" w:fill="FFFFFF"/>
        <w:rPr>
          <w:rFonts w:hint="eastAsia" w:ascii="微软雅黑" w:hAnsi="微软雅黑" w:eastAsia="微软雅黑" w:cs="宋体"/>
          <w:color w:val="5A5A5A"/>
          <w:kern w:val="0"/>
          <w:sz w:val="18"/>
          <w:szCs w:val="18"/>
        </w:rPr>
      </w:pPr>
      <w:r>
        <w:rPr>
          <w:rFonts w:hint="eastAsia" w:ascii="微软雅黑" w:hAnsi="微软雅黑" w:eastAsia="微软雅黑" w:cs="宋体"/>
          <w:b/>
          <w:bCs/>
          <w:color w:val="4A86E8"/>
          <w:kern w:val="0"/>
          <w:sz w:val="18"/>
          <w:szCs w:val="18"/>
        </w:rPr>
        <w:t>技术参数：</w:t>
      </w:r>
    </w:p>
    <w:tbl>
      <w:tblPr>
        <w:tblpPr w:vertAnchor="text" w:tblpXSpec="left"/>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734"/>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89"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eastAsia" w:ascii="Arial" w:hAnsi="Arial" w:cs="Arial"/>
                <w:caps w:val="0"/>
                <w:color w:val="5A5A5A"/>
                <w:spacing w:val="0"/>
                <w:sz w:val="18"/>
                <w:szCs w:val="18"/>
              </w:rPr>
            </w:pPr>
            <w:r>
              <w:rPr>
                <w:rFonts w:ascii="微软雅黑" w:hAnsi="微软雅黑" w:eastAsia="微软雅黑" w:cs="微软雅黑"/>
                <w:caps w:val="0"/>
                <w:color w:val="5A5A5A"/>
                <w:spacing w:val="0"/>
                <w:kern w:val="0"/>
                <w:sz w:val="18"/>
                <w:szCs w:val="18"/>
                <w:bdr w:val="none" w:color="auto" w:sz="0" w:space="0"/>
                <w:lang w:val="en-US" w:eastAsia="zh-CN" w:bidi="ar"/>
              </w:rPr>
              <w:t>型号</w:t>
            </w:r>
          </w:p>
        </w:tc>
        <w:tc>
          <w:tcPr>
            <w:tcW w:w="5865" w:type="dxa"/>
            <w:shd w:val="clear" w:color="auto" w:fill="FFFFFF"/>
            <w:tcMar>
              <w:top w:w="75" w:type="dxa"/>
              <w:left w:w="150" w:type="dxa"/>
              <w:bottom w:w="75" w:type="dxa"/>
              <w:righ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sz w:val="18"/>
                <w:szCs w:val="18"/>
              </w:rPr>
            </w:pPr>
            <w:r>
              <w:rPr>
                <w:rFonts w:hint="eastAsia" w:ascii="微软雅黑" w:hAnsi="微软雅黑" w:eastAsia="微软雅黑" w:cs="微软雅黑"/>
                <w:caps w:val="0"/>
                <w:color w:val="5A5A5A"/>
                <w:spacing w:val="0"/>
                <w:sz w:val="18"/>
                <w:szCs w:val="18"/>
                <w:bdr w:val="none" w:color="auto" w:sz="0" w:space="0"/>
              </w:rPr>
              <w:t>Stab S2T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sz w:val="18"/>
                <w:szCs w:val="18"/>
              </w:rPr>
            </w:pPr>
            <w:r>
              <w:rPr>
                <w:rFonts w:hint="eastAsia" w:ascii="微软雅黑" w:hAnsi="微软雅黑" w:eastAsia="微软雅黑" w:cs="微软雅黑"/>
                <w:caps w:val="0"/>
                <w:color w:val="4B4B4B"/>
                <w:spacing w:val="0"/>
                <w:sz w:val="18"/>
                <w:szCs w:val="18"/>
                <w:bdr w:val="none" w:color="auto" w:sz="0" w:space="0"/>
              </w:rPr>
              <w:t>Stab S2T </w:t>
            </w:r>
            <w:r>
              <w:rPr>
                <w:rFonts w:hint="eastAsia" w:ascii="微软雅黑" w:hAnsi="微软雅黑" w:eastAsia="微软雅黑" w:cs="微软雅黑"/>
                <w:caps w:val="0"/>
                <w:color w:val="5A5A5A"/>
                <w:spacing w:val="0"/>
                <w:sz w:val="18"/>
                <w:szCs w:val="18"/>
                <w:bdr w:val="none" w:color="auto" w:sz="0" w:space="0"/>
              </w:rPr>
              <w:t>-2 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sz w:val="18"/>
                <w:szCs w:val="18"/>
              </w:rPr>
            </w:pPr>
            <w:r>
              <w:rPr>
                <w:rFonts w:hint="eastAsia" w:ascii="微软雅黑" w:hAnsi="微软雅黑" w:eastAsia="微软雅黑" w:cs="微软雅黑"/>
                <w:caps w:val="0"/>
                <w:color w:val="4B4B4B"/>
                <w:spacing w:val="0"/>
                <w:sz w:val="18"/>
                <w:szCs w:val="18"/>
                <w:bdr w:val="none" w:color="auto" w:sz="0" w:space="0"/>
              </w:rPr>
              <w:t>Stab S2T </w:t>
            </w:r>
            <w:r>
              <w:rPr>
                <w:rFonts w:hint="eastAsia" w:ascii="微软雅黑" w:hAnsi="微软雅黑" w:eastAsia="微软雅黑" w:cs="微软雅黑"/>
                <w:caps w:val="0"/>
                <w:color w:val="5A5A5A"/>
                <w:spacing w:val="0"/>
                <w:sz w:val="18"/>
                <w:szCs w:val="18"/>
                <w:bdr w:val="none" w:color="auto" w:sz="0" w:space="0"/>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sz w:val="18"/>
                <w:szCs w:val="18"/>
              </w:rPr>
            </w:pPr>
            <w:r>
              <w:rPr>
                <w:rFonts w:hint="eastAsia" w:ascii="微软雅黑" w:hAnsi="微软雅黑" w:eastAsia="微软雅黑" w:cs="微软雅黑"/>
                <w:caps w:val="0"/>
                <w:color w:val="4B4B4B"/>
                <w:spacing w:val="0"/>
                <w:sz w:val="18"/>
                <w:szCs w:val="18"/>
                <w:bdr w:val="none" w:color="auto" w:sz="0" w:space="0"/>
              </w:rPr>
              <w:t>Stab S2T </w:t>
            </w:r>
            <w:r>
              <w:rPr>
                <w:rFonts w:hint="eastAsia" w:ascii="微软雅黑" w:hAnsi="微软雅黑" w:eastAsia="微软雅黑" w:cs="微软雅黑"/>
                <w:caps w:val="0"/>
                <w:color w:val="5A5A5A"/>
                <w:spacing w:val="0"/>
                <w:sz w:val="18"/>
                <w:szCs w:val="18"/>
                <w:bdr w:val="none" w:color="auto" w:sz="0" w:space="0"/>
              </w:rPr>
              <w:t>-D2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sz w:val="18"/>
                <w:szCs w:val="18"/>
              </w:rPr>
            </w:pPr>
            <w:r>
              <w:rPr>
                <w:rFonts w:hint="eastAsia" w:ascii="微软雅黑" w:hAnsi="微软雅黑" w:eastAsia="微软雅黑" w:cs="微软雅黑"/>
                <w:caps w:val="0"/>
                <w:color w:val="4B4B4B"/>
                <w:spacing w:val="0"/>
                <w:sz w:val="18"/>
                <w:szCs w:val="18"/>
                <w:bdr w:val="none" w:color="auto" w:sz="0" w:space="0"/>
              </w:rPr>
              <w:t>Stab S2T </w:t>
            </w:r>
            <w:r>
              <w:rPr>
                <w:rFonts w:hint="eastAsia" w:ascii="微软雅黑" w:hAnsi="微软雅黑" w:eastAsia="微软雅黑" w:cs="微软雅黑"/>
                <w:caps w:val="0"/>
                <w:color w:val="5A5A5A"/>
                <w:spacing w:val="0"/>
                <w:sz w:val="18"/>
                <w:szCs w:val="18"/>
                <w:bdr w:val="none" w:color="auto" w:sz="0" w:space="0"/>
              </w:rPr>
              <w:t>-D23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对应主机数量</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1台（1层）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控制界面</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5寸LCD触摸屏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空载振荡转速范围</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2~30</w:t>
            </w:r>
            <w:bookmarkStart w:id="0" w:name="_GoBack"/>
            <w:bookmarkEnd w:id="0"/>
            <w:r>
              <w:rPr>
                <w:rFonts w:hint="eastAsia" w:ascii="微软雅黑" w:hAnsi="微软雅黑" w:eastAsia="微软雅黑" w:cs="微软雅黑"/>
                <w:caps w:val="0"/>
                <w:color w:val="5A5A5A"/>
                <w:spacing w:val="0"/>
                <w:kern w:val="0"/>
                <w:sz w:val="18"/>
                <w:szCs w:val="18"/>
                <w:bdr w:val="none" w:color="auto" w:sz="0" w:space="0"/>
                <w:lang w:val="en-US" w:eastAsia="zh-CN" w:bidi="ar"/>
              </w:rPr>
              <w:t>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转速控制精度</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1rpm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振幅 </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26/50mm 可选（其他振幅可定制）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温度控制模式</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PID 控制模式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温度控制范围</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 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温度显示分辨率</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温度稳定性</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温场均匀性</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±0.5℃</w:t>
            </w:r>
            <w:r>
              <w:rPr>
                <w:rFonts w:hint="eastAsia" w:ascii="微软雅黑" w:hAnsi="微软雅黑" w:eastAsia="微软雅黑" w:cs="微软雅黑"/>
                <w:caps w:val="0"/>
                <w:color w:val="5A5A5A"/>
                <w:spacing w:val="0"/>
                <w:kern w:val="0"/>
                <w:sz w:val="18"/>
                <w:szCs w:val="18"/>
                <w:bdr w:val="none" w:color="auto" w:sz="0" w:space="0"/>
                <w:shd w:val="clear" w:fill="FFFFFF"/>
                <w:lang w:val="en-US" w:eastAsia="zh-CN" w:bidi="ar"/>
              </w:rPr>
              <w:t>（在37℃时）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最大功率</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1300W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定时功能</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0-999.9小时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托板尺寸</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 590 x 465 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最大承载量</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35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夹具类型</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万用弹簧网、固定瓶夹、深孔板夹、试管架等可选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83"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锥形瓶最大承载数量</w:t>
            </w:r>
          </w:p>
        </w:tc>
        <w:tc>
          <w:tcPr>
            <w:tcW w:w="5865" w:type="dxa"/>
            <w:shd w:val="clear" w:color="auto" w:fill="FFFFFF"/>
            <w:tcMar>
              <w:top w:w="75" w:type="dxa"/>
              <w:left w:w="150" w:type="dxa"/>
              <w:bottom w:w="75" w:type="dxa"/>
              <w:right w:w="150"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sz w:val="18"/>
                <w:szCs w:val="18"/>
              </w:rPr>
            </w:pPr>
            <w:r>
              <w:rPr>
                <w:rFonts w:hint="eastAsia" w:ascii="微软雅黑" w:hAnsi="微软雅黑" w:eastAsia="微软雅黑" w:cs="微软雅黑"/>
                <w:caps w:val="0"/>
                <w:color w:val="5A5A5A"/>
                <w:spacing w:val="0"/>
                <w:sz w:val="18"/>
                <w:szCs w:val="18"/>
                <w:bdr w:val="none" w:color="auto" w:sz="0" w:space="0"/>
              </w:rPr>
              <w:t>35 x 250 ml ；24 x 500 ml ；15 x 1000 ml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sz w:val="18"/>
                <w:szCs w:val="18"/>
              </w:rPr>
            </w:pPr>
            <w:r>
              <w:rPr>
                <w:rFonts w:hint="eastAsia" w:ascii="微软雅黑" w:hAnsi="微软雅黑" w:eastAsia="微软雅黑" w:cs="微软雅黑"/>
                <w:caps w:val="0"/>
                <w:color w:val="5A5A5A"/>
                <w:spacing w:val="0"/>
                <w:sz w:val="18"/>
                <w:szCs w:val="18"/>
                <w:bdr w:val="none" w:color="auto" w:sz="0" w:space="0"/>
              </w:rPr>
              <w:t>8 x 2000 ml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选用粘性片承载量将增加10% 左右</w:t>
            </w:r>
            <w:r>
              <w:rPr>
                <w:rFonts w:hint="eastAsia" w:ascii="微软雅黑" w:hAnsi="微软雅黑" w:eastAsia="微软雅黑" w:cs="微软雅黑"/>
                <w:caps w:val="0"/>
                <w:color w:val="5A5A5A"/>
                <w:spacing w:val="0"/>
                <w:kern w:val="0"/>
                <w:sz w:val="18"/>
                <w:szCs w:val="18"/>
                <w:bdr w:val="none" w:color="auto" w:sz="0" w:space="0"/>
                <w:lang w:val="en-US" w:eastAsia="zh-CN" w:bidi="ar"/>
              </w:rPr>
              <w:br w:type="textWrapping"/>
            </w:r>
            <w:r>
              <w:rPr>
                <w:rFonts w:hint="eastAsia" w:ascii="微软雅黑" w:hAnsi="微软雅黑" w:eastAsia="微软雅黑" w:cs="微软雅黑"/>
                <w:caps w:val="0"/>
                <w:color w:val="5A5A5A"/>
                <w:spacing w:val="0"/>
                <w:kern w:val="0"/>
                <w:sz w:val="18"/>
                <w:szCs w:val="18"/>
                <w:bdr w:val="none" w:color="auto" w:sz="0" w:space="0"/>
                <w:lang w:val="en-US" w:eastAsia="zh-CN" w:bidi="ar"/>
              </w:rPr>
              <w:t>（以上为“或”的关系，均指单层承载数量）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可扩展性</w:t>
            </w:r>
          </w:p>
        </w:tc>
        <w:tc>
          <w:tcPr>
            <w:tcW w:w="5865" w:type="dxa"/>
            <w:shd w:val="clear" w:color="auto" w:fill="FFFFFF"/>
            <w:tcMar>
              <w:top w:w="75" w:type="dxa"/>
              <w:left w:w="150" w:type="dxa"/>
              <w:bottom w:w="75" w:type="dxa"/>
              <w:right w:w="150" w:type="dxa"/>
            </w:tcMar>
            <w:vAlign w:val="top"/>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最多可叠加3台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内部尺寸(长 x 宽x 高)</w:t>
            </w:r>
          </w:p>
        </w:tc>
        <w:tc>
          <w:tcPr>
            <w:tcW w:w="5865" w:type="dxa"/>
            <w:shd w:val="clear" w:color="auto" w:fill="FFFFFF"/>
            <w:tcMar>
              <w:top w:w="75" w:type="dxa"/>
              <w:left w:w="150" w:type="dxa"/>
              <w:bottom w:w="75" w:type="dxa"/>
              <w:right w:w="150" w:type="dxa"/>
            </w:tcMar>
            <w:vAlign w:val="top"/>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434343"/>
                <w:spacing w:val="0"/>
                <w:kern w:val="0"/>
                <w:sz w:val="18"/>
                <w:szCs w:val="18"/>
                <w:bdr w:val="none" w:color="auto" w:sz="0" w:space="0"/>
                <w:shd w:val="clear" w:fill="FFFFFF"/>
                <w:lang w:val="en-US" w:eastAsia="zh-CN" w:bidi="ar"/>
              </w:rPr>
              <w:t>720 x 632 x 475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76"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外形尺寸(长 x 宽x 高)</w:t>
            </w:r>
          </w:p>
        </w:tc>
        <w:tc>
          <w:tcPr>
            <w:tcW w:w="5865" w:type="dxa"/>
            <w:shd w:val="clear" w:color="auto" w:fill="FFFFFF"/>
            <w:tcMar>
              <w:top w:w="75" w:type="dxa"/>
              <w:left w:w="150" w:type="dxa"/>
              <w:bottom w:w="75"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单层：1000  x 725 x 620 mm( 含底座)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双层：1000 x 725 x 1170 mm ( 含底座)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52" w:lineRule="atLeast"/>
              <w:ind w:left="0" w:right="0"/>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三层：1000 x 725 x 1720 mm( 含底座)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箱体内部使用高度</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340mm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箱体容积</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215L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照明</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Fl 管，30 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灭菌方式</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UV紫外灭菌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数据导出接口</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0" w:type="auto"/>
            <w:shd w:val="clear" w:color="auto" w:fill="FFFFFF"/>
            <w:tcMar>
              <w:top w:w="75" w:type="dxa"/>
              <w:left w:w="150" w:type="dxa"/>
              <w:bottom w:w="75" w:type="dxa"/>
              <w:right w:w="150" w:type="dxa"/>
            </w:tcMar>
            <w:vAlign w:val="top"/>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434343"/>
                <w:spacing w:val="0"/>
                <w:kern w:val="0"/>
                <w:sz w:val="18"/>
                <w:szCs w:val="18"/>
                <w:bdr w:val="none" w:color="auto" w:sz="0" w:space="0"/>
                <w:shd w:val="clear" w:fill="FFFFFF"/>
                <w:lang w:val="en-US" w:eastAsia="zh-CN" w:bidi="ar"/>
              </w:rPr>
              <w:t>数据存储间隔时间</w:t>
            </w:r>
          </w:p>
        </w:tc>
        <w:tc>
          <w:tcPr>
            <w:tcW w:w="0" w:type="auto"/>
            <w:shd w:val="clear" w:color="auto" w:fill="FFFFFF"/>
            <w:tcMar>
              <w:top w:w="75" w:type="dxa"/>
              <w:left w:w="150" w:type="dxa"/>
              <w:bottom w:w="75" w:type="dxa"/>
              <w:right w:w="150" w:type="dxa"/>
            </w:tcMar>
            <w:vAlign w:val="top"/>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30s~9999s 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历史数据存储</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25W条信息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可保存程序数</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ascii="微软雅黑" w:hAnsi="微软雅黑" w:eastAsia="微软雅黑" w:cs="微软雅黑"/>
                <w:caps w:val="0"/>
                <w:color w:val="5A5A5A"/>
                <w:spacing w:val="0"/>
                <w:kern w:val="0"/>
                <w:sz w:val="18"/>
                <w:szCs w:val="18"/>
                <w:bdr w:val="none" w:color="auto" w:sz="0" w:space="0"/>
                <w:shd w:val="clear" w:fill="FFFFFF"/>
                <w:lang w:val="en-US" w:eastAsia="zh-CN" w:bidi="ar"/>
              </w:rPr>
              <w:t>每个程序可设置分段数</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工作环境温度</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5℃到35℃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6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wordWrap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电源</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220~240V/50~60Hz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74" w:hRule="atLeast"/>
        </w:trPr>
        <w:tc>
          <w:tcPr>
            <w:tcW w:w="2734"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重量</w:t>
            </w:r>
          </w:p>
        </w:tc>
        <w:tc>
          <w:tcPr>
            <w:tcW w:w="5865" w:type="dxa"/>
            <w:shd w:val="clear" w:color="auto" w:fill="FFFFFF"/>
            <w:tcMar>
              <w:top w:w="75" w:type="dxa"/>
              <w:left w:w="150" w:type="dxa"/>
              <w:bottom w:w="75" w:type="dxa"/>
              <w:right w:w="150" w:type="dxa"/>
            </w:tcMar>
            <w:vAlign w:val="center"/>
          </w:tcPr>
          <w:p>
            <w:pPr>
              <w:keepNext w:val="0"/>
              <w:keepLines w:val="0"/>
              <w:widowControl/>
              <w:suppressLineNumbers w:val="0"/>
              <w:spacing w:line="252" w:lineRule="atLeast"/>
              <w:jc w:val="center"/>
              <w:rPr>
                <w:rFonts w:hint="default" w:ascii="Arial" w:hAnsi="Arial" w:cs="Arial"/>
                <w:caps w:val="0"/>
                <w:color w:val="5A5A5A"/>
                <w:spacing w:val="0"/>
                <w:sz w:val="18"/>
                <w:szCs w:val="18"/>
              </w:rPr>
            </w:pPr>
            <w:r>
              <w:rPr>
                <w:rFonts w:hint="eastAsia" w:ascii="微软雅黑" w:hAnsi="微软雅黑" w:eastAsia="微软雅黑" w:cs="微软雅黑"/>
                <w:caps w:val="0"/>
                <w:color w:val="5A5A5A"/>
                <w:spacing w:val="0"/>
                <w:kern w:val="0"/>
                <w:sz w:val="18"/>
                <w:szCs w:val="18"/>
                <w:bdr w:val="none" w:color="auto" w:sz="0" w:space="0"/>
                <w:lang w:val="en-US" w:eastAsia="zh-CN" w:bidi="ar"/>
              </w:rPr>
              <w:t>单层145kg</w:t>
            </w:r>
          </w:p>
        </w:tc>
      </w:tr>
    </w:tbl>
    <w:p>
      <w:pPr>
        <w:widowControl/>
        <w:shd w:val="clear" w:color="auto" w:fill="FFFFFF"/>
        <w:rPr>
          <w:rFonts w:hint="eastAsia" w:ascii="微软雅黑" w:hAnsi="微软雅黑" w:eastAsia="微软雅黑" w:cs="宋体"/>
          <w:color w:val="5A5A5A"/>
          <w:kern w:val="0"/>
          <w:sz w:val="18"/>
          <w:szCs w:val="18"/>
        </w:rPr>
      </w:pPr>
    </w:p>
    <w:p>
      <w:pPr>
        <w:pStyle w:val="5"/>
        <w:widowControl/>
        <w:shd w:val="clear" w:color="auto" w:fill="FFFFFF"/>
        <w:spacing w:beforeAutospacing="0" w:afterAutospacing="0"/>
        <w:jc w:val="both"/>
        <w:rPr>
          <w:rFonts w:ascii="微软雅黑" w:hAnsi="微软雅黑" w:eastAsia="微软雅黑" w:cs="微软雅黑"/>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drawing>
        <wp:inline distT="0" distB="0" distL="0" distR="0">
          <wp:extent cx="1071880" cy="350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7859" cy="352452"/>
                  </a:xfrm>
                  <a:prstGeom prst="rect">
                    <a:avLst/>
                  </a:prstGeom>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mNmY3MjhhNDMyOWJhNjM2YzQ1YjNiYjU1NjQwYTUifQ=="/>
  </w:docVars>
  <w:rsids>
    <w:rsidRoot w:val="00B17159"/>
    <w:rsid w:val="002C0773"/>
    <w:rsid w:val="00651BB8"/>
    <w:rsid w:val="0073731E"/>
    <w:rsid w:val="008B53DE"/>
    <w:rsid w:val="00B17159"/>
    <w:rsid w:val="00C60C3C"/>
    <w:rsid w:val="00CB0B72"/>
    <w:rsid w:val="00CE3300"/>
    <w:rsid w:val="00D40B05"/>
    <w:rsid w:val="095818A6"/>
    <w:rsid w:val="13442028"/>
    <w:rsid w:val="144C4F66"/>
    <w:rsid w:val="185640EA"/>
    <w:rsid w:val="1C344B65"/>
    <w:rsid w:val="28CE39A3"/>
    <w:rsid w:val="2D8B2549"/>
    <w:rsid w:val="357F6114"/>
    <w:rsid w:val="3705162A"/>
    <w:rsid w:val="3CB07334"/>
    <w:rsid w:val="3F3D7A2F"/>
    <w:rsid w:val="438966B2"/>
    <w:rsid w:val="43B22762"/>
    <w:rsid w:val="47281DF3"/>
    <w:rsid w:val="4CFA0684"/>
    <w:rsid w:val="4D7A6599"/>
    <w:rsid w:val="4DBF52E6"/>
    <w:rsid w:val="4F896C73"/>
    <w:rsid w:val="53156FC2"/>
    <w:rsid w:val="5367612D"/>
    <w:rsid w:val="63D56207"/>
    <w:rsid w:val="65B92972"/>
    <w:rsid w:val="68225079"/>
    <w:rsid w:val="6B0160A4"/>
    <w:rsid w:val="725E78A2"/>
    <w:rsid w:val="7453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2368</Words>
  <Characters>2676</Characters>
  <Lines>21</Lines>
  <Paragraphs>6</Paragraphs>
  <TotalTime>1</TotalTime>
  <ScaleCrop>false</ScaleCrop>
  <LinksUpToDate>false</LinksUpToDate>
  <CharactersWithSpaces>2871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2021-12-09T06:52:00Z</dcterms:created>
  <dc:creator>Administrator</dc:creator>
  <cp:lastModifiedBy>马建</cp:lastModifiedBy>
  <dcterms:modified xsi:type="dcterms:W3CDTF">2022-11-22T08:06:58Z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D15C7C99EF3A42B39737EF827A5AB042</vt:lpwstr>
  </property>
</Properties>
</file>